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20395" w14:textId="5D49C64C" w:rsidR="00285215" w:rsidRDefault="00CB7947" w:rsidP="00AC2E01">
      <w:pPr>
        <w:spacing w:beforeLines="50" w:before="120" w:afterLines="50" w:after="120"/>
        <w:jc w:val="center"/>
        <w:rPr>
          <w:b/>
          <w:sz w:val="28"/>
          <w:szCs w:val="28"/>
          <w:lang w:eastAsia="ja-JP"/>
        </w:rPr>
      </w:pPr>
      <w:r w:rsidRPr="00CB7947">
        <w:rPr>
          <w:b/>
          <w:sz w:val="28"/>
          <w:szCs w:val="28"/>
        </w:rPr>
        <w:t>High-fidelity and robust quantum gates for superconducting qubits and semiconductor spin qubits</w:t>
      </w:r>
    </w:p>
    <w:p w14:paraId="557035C2" w14:textId="693C9F02" w:rsidR="00C63184" w:rsidRPr="0009441D" w:rsidRDefault="00C63184" w:rsidP="00C63184">
      <w:pPr>
        <w:jc w:val="both"/>
        <w:rPr>
          <w:lang w:eastAsia="ja-JP"/>
        </w:rPr>
      </w:pPr>
    </w:p>
    <w:p w14:paraId="4CCB2A05" w14:textId="325699E7" w:rsidR="00704717" w:rsidRPr="0009441D" w:rsidRDefault="005E1C54" w:rsidP="00B6639D">
      <w:pPr>
        <w:jc w:val="center"/>
      </w:pPr>
      <w:r w:rsidRPr="00F06B77">
        <w:rPr>
          <w:lang w:eastAsia="ja-JP"/>
        </w:rPr>
        <w:t>Chia-Hsien Huang</w:t>
      </w:r>
      <w:r w:rsidR="00C84BDA" w:rsidRPr="0009441D">
        <w:rPr>
          <w:rFonts w:hint="eastAsia"/>
          <w:vertAlign w:val="superscript"/>
          <w:lang w:eastAsia="ja-JP"/>
        </w:rPr>
        <w:t>1</w:t>
      </w:r>
      <w:r w:rsidR="004B0E39">
        <w:rPr>
          <w:vertAlign w:val="superscript"/>
          <w:lang w:eastAsia="ja-JP"/>
        </w:rPr>
        <w:t>,2</w:t>
      </w:r>
      <w:r w:rsidR="00C84BDA" w:rsidRPr="0009441D">
        <w:rPr>
          <w:rFonts w:hint="eastAsia"/>
          <w:lang w:eastAsia="ja-JP"/>
        </w:rPr>
        <w:t xml:space="preserve"> and</w:t>
      </w:r>
      <w:r w:rsidR="00C84BDA" w:rsidRPr="00D16F9D">
        <w:rPr>
          <w:rFonts w:hint="eastAsia"/>
          <w:u w:val="single"/>
          <w:lang w:eastAsia="ja-JP"/>
        </w:rPr>
        <w:t xml:space="preserve"> </w:t>
      </w:r>
      <w:r w:rsidRPr="00D16F9D">
        <w:rPr>
          <w:u w:val="single"/>
          <w:lang w:eastAsia="ja-JP"/>
        </w:rPr>
        <w:t>Hsi-Sheng Goan</w:t>
      </w:r>
      <w:r w:rsidR="00C84BDA" w:rsidRPr="0009441D">
        <w:rPr>
          <w:rFonts w:hint="eastAsia"/>
          <w:vertAlign w:val="superscript"/>
          <w:lang w:eastAsia="ja-JP"/>
        </w:rPr>
        <w:t>1</w:t>
      </w:r>
      <w:r w:rsidR="004B0E39">
        <w:rPr>
          <w:vertAlign w:val="superscript"/>
          <w:lang w:eastAsia="ja-JP"/>
        </w:rPr>
        <w:t>,2</w:t>
      </w:r>
      <w:r w:rsidR="00B6639D">
        <w:rPr>
          <w:vertAlign w:val="superscript"/>
          <w:lang w:eastAsia="ja-JP"/>
        </w:rPr>
        <w:t>,3</w:t>
      </w:r>
      <w:r w:rsidR="00B6639D">
        <w:rPr>
          <w:rFonts w:ascii="微軟正黑體" w:eastAsia="微軟正黑體" w:hAnsi="微軟正黑體" w:cs="微軟正黑體"/>
          <w:vertAlign w:val="superscript"/>
          <w:lang w:eastAsia="zh-TW"/>
        </w:rPr>
        <w:t xml:space="preserve">, </w:t>
      </w:r>
      <w:r w:rsidR="00B6639D">
        <w:t>*</w:t>
      </w:r>
      <w:bookmarkStart w:id="0" w:name="_GoBack"/>
      <w:bookmarkEnd w:id="0"/>
    </w:p>
    <w:p w14:paraId="2917D3CA" w14:textId="473F7D19" w:rsidR="0009441D" w:rsidRPr="0009441D" w:rsidRDefault="0009441D" w:rsidP="00B6639D">
      <w:pPr>
        <w:jc w:val="center"/>
        <w:rPr>
          <w:i/>
          <w:lang w:eastAsia="ja-JP"/>
        </w:rPr>
      </w:pPr>
      <w:r w:rsidRPr="0009441D">
        <w:rPr>
          <w:rFonts w:hint="eastAsia"/>
          <w:i/>
          <w:vertAlign w:val="superscript"/>
          <w:lang w:eastAsia="ja-JP"/>
        </w:rPr>
        <w:t>1)</w:t>
      </w:r>
      <w:r w:rsidR="005E1C54" w:rsidRPr="005E1C54">
        <w:t xml:space="preserve"> </w:t>
      </w:r>
      <w:r w:rsidR="005E1C54" w:rsidRPr="005E1C54">
        <w:rPr>
          <w:i/>
        </w:rPr>
        <w:t>Department of Physics and Center for Theoretical Physics, National Taiwan University, Taipei 10617, Taiwan</w:t>
      </w:r>
    </w:p>
    <w:p w14:paraId="0AACBC67" w14:textId="77777777" w:rsidR="00165DE4" w:rsidRDefault="0009441D" w:rsidP="00B6639D">
      <w:pPr>
        <w:jc w:val="center"/>
        <w:rPr>
          <w:i/>
        </w:rPr>
      </w:pPr>
      <w:bookmarkStart w:id="1" w:name="_Hlk119426905"/>
      <w:r w:rsidRPr="0009441D">
        <w:rPr>
          <w:rFonts w:hint="eastAsia"/>
          <w:i/>
          <w:vertAlign w:val="superscript"/>
          <w:lang w:eastAsia="ja-JP"/>
        </w:rPr>
        <w:t>2)</w:t>
      </w:r>
      <w:r w:rsidR="005E1C54" w:rsidRPr="005E1C54">
        <w:t xml:space="preserve"> </w:t>
      </w:r>
      <w:r w:rsidR="005E1C54" w:rsidRPr="005E1C54">
        <w:rPr>
          <w:i/>
        </w:rPr>
        <w:t>Center for Quantum Science and Engineering, National Taiwan University, Taipei 10617, Taiwan</w:t>
      </w:r>
      <w:bookmarkEnd w:id="1"/>
    </w:p>
    <w:p w14:paraId="1224BB49" w14:textId="1EDBDDAD" w:rsidR="0009441D" w:rsidRPr="0009441D" w:rsidRDefault="00165DE4" w:rsidP="00B6639D">
      <w:pPr>
        <w:jc w:val="center"/>
        <w:rPr>
          <w:i/>
        </w:rPr>
      </w:pPr>
      <w:r>
        <w:rPr>
          <w:i/>
          <w:vertAlign w:val="superscript"/>
          <w:lang w:eastAsia="ja-JP"/>
        </w:rPr>
        <w:t>3</w:t>
      </w:r>
      <w:r w:rsidRPr="0009441D">
        <w:rPr>
          <w:rFonts w:hint="eastAsia"/>
          <w:i/>
          <w:vertAlign w:val="superscript"/>
          <w:lang w:eastAsia="ja-JP"/>
        </w:rPr>
        <w:t>)</w:t>
      </w:r>
      <w:r w:rsidRPr="005E1C54">
        <w:t xml:space="preserve"> </w:t>
      </w:r>
      <w:r w:rsidRPr="008D1394">
        <w:rPr>
          <w:i/>
        </w:rPr>
        <w:t>Physics Division, National C</w:t>
      </w:r>
      <w:r w:rsidRPr="005E1C54">
        <w:rPr>
          <w:i/>
        </w:rPr>
        <w:t xml:space="preserve">enter for </w:t>
      </w:r>
      <w:r>
        <w:rPr>
          <w:i/>
        </w:rPr>
        <w:t>Theoretical Sciences,</w:t>
      </w:r>
      <w:r w:rsidRPr="005E1C54">
        <w:rPr>
          <w:i/>
        </w:rPr>
        <w:t xml:space="preserve"> Taipei 10617, Taiwan</w:t>
      </w:r>
    </w:p>
    <w:p w14:paraId="26319D43" w14:textId="12B79EC4" w:rsidR="00391835" w:rsidRPr="0009441D" w:rsidRDefault="00B6639D" w:rsidP="00B6639D">
      <w:pPr>
        <w:jc w:val="center"/>
        <w:rPr>
          <w:i/>
          <w:lang w:eastAsia="ja-JP"/>
        </w:rPr>
      </w:pPr>
      <w:r>
        <w:rPr>
          <w:i/>
          <w:lang w:eastAsia="ja-JP"/>
        </w:rPr>
        <w:t>*</w:t>
      </w:r>
      <w:r w:rsidR="00663D93">
        <w:rPr>
          <w:i/>
          <w:lang w:eastAsia="ja-JP"/>
        </w:rPr>
        <w:t xml:space="preserve">Email: </w:t>
      </w:r>
      <w:r>
        <w:rPr>
          <w:i/>
          <w:lang w:eastAsia="ja-JP"/>
        </w:rPr>
        <w:t>g</w:t>
      </w:r>
      <w:r w:rsidR="004B0E39" w:rsidRPr="004B0E39">
        <w:rPr>
          <w:i/>
          <w:lang w:eastAsia="ja-JP"/>
        </w:rPr>
        <w:t>oan@phys.ntu.edu.tw</w:t>
      </w:r>
    </w:p>
    <w:p w14:paraId="586AE097" w14:textId="129CC140" w:rsidR="00704717" w:rsidRPr="00663D93" w:rsidRDefault="00704717" w:rsidP="00C84BDA">
      <w:pPr>
        <w:jc w:val="both"/>
        <w:rPr>
          <w:lang w:eastAsia="ja-JP"/>
        </w:rPr>
      </w:pPr>
    </w:p>
    <w:p w14:paraId="6A176F66" w14:textId="77777777" w:rsidR="003919E1" w:rsidRDefault="003919E1" w:rsidP="00C84BDA">
      <w:pPr>
        <w:jc w:val="both"/>
        <w:rPr>
          <w:rFonts w:eastAsia="新細明體"/>
          <w:lang w:eastAsia="zh-TW"/>
        </w:rPr>
      </w:pPr>
    </w:p>
    <w:p w14:paraId="418AB8E7" w14:textId="3AFAA286" w:rsidR="00CE032F" w:rsidRDefault="00101388" w:rsidP="00101388">
      <w:pPr>
        <w:ind w:firstLineChars="200" w:firstLine="480"/>
        <w:jc w:val="both"/>
        <w:rPr>
          <w:rFonts w:eastAsia="新細明體"/>
          <w:lang w:eastAsia="zh-TW"/>
        </w:rPr>
      </w:pPr>
      <w:r w:rsidRPr="00101388">
        <w:rPr>
          <w:rFonts w:eastAsia="新細明體"/>
          <w:lang w:eastAsia="zh-TW"/>
        </w:rPr>
        <w:t xml:space="preserve">To realize practical quantum computation, the ability to precisely control qubit systems is a prerequisite. To increase the reliable circuit depth on noisy intermediate-scale quantum (NISQ) computing </w:t>
      </w:r>
      <w:r>
        <w:rPr>
          <w:rFonts w:eastAsia="新細明體"/>
          <w:lang w:eastAsia="zh-TW"/>
        </w:rPr>
        <w:t>devices</w:t>
      </w:r>
      <w:r w:rsidRPr="00101388">
        <w:rPr>
          <w:rFonts w:eastAsia="新細明體"/>
          <w:lang w:eastAsia="zh-TW"/>
        </w:rPr>
        <w:t xml:space="preserve">, or achieve the </w:t>
      </w:r>
      <w:proofErr w:type="gramStart"/>
      <w:r w:rsidRPr="00101388">
        <w:rPr>
          <w:rFonts w:eastAsia="新細明體"/>
          <w:lang w:eastAsia="zh-TW"/>
        </w:rPr>
        <w:t>ultimate</w:t>
      </w:r>
      <w:r>
        <w:rPr>
          <w:rFonts w:eastAsia="新細明體"/>
          <w:lang w:eastAsia="zh-TW"/>
        </w:rPr>
        <w:t xml:space="preserve"> goal</w:t>
      </w:r>
      <w:proofErr w:type="gramEnd"/>
      <w:r>
        <w:rPr>
          <w:rFonts w:eastAsia="新細明體"/>
          <w:lang w:eastAsia="zh-TW"/>
        </w:rPr>
        <w:t xml:space="preserve"> </w:t>
      </w:r>
      <w:r w:rsidRPr="00101388">
        <w:rPr>
          <w:rFonts w:eastAsia="新細明體"/>
          <w:lang w:eastAsia="zh-TW"/>
        </w:rPr>
        <w:t xml:space="preserve">of error-corrected fault-tolerant quantum computation, constructing high-fidelity and robust quantum gates to meet the stringent computing requirements </w:t>
      </w:r>
      <w:r w:rsidR="00F6495D">
        <w:rPr>
          <w:rFonts w:eastAsia="新細明體"/>
          <w:lang w:eastAsia="zh-TW"/>
        </w:rPr>
        <w:t xml:space="preserve">(beyond the fault-tolerant error threshold) </w:t>
      </w:r>
      <w:r w:rsidRPr="00101388">
        <w:rPr>
          <w:rFonts w:eastAsia="新細明體"/>
          <w:lang w:eastAsia="zh-TW"/>
        </w:rPr>
        <w:t>is an important and timel</w:t>
      </w:r>
      <w:r>
        <w:rPr>
          <w:rFonts w:eastAsia="新細明體"/>
          <w:lang w:eastAsia="zh-TW"/>
        </w:rPr>
        <w:t>y</w:t>
      </w:r>
      <w:r w:rsidRPr="00101388">
        <w:rPr>
          <w:rFonts w:eastAsia="新細明體"/>
          <w:lang w:eastAsia="zh-TW"/>
        </w:rPr>
        <w:t xml:space="preserve"> issue. </w:t>
      </w:r>
      <w:r w:rsidR="00661145">
        <w:rPr>
          <w:rFonts w:eastAsia="新細明體"/>
          <w:lang w:eastAsia="zh-TW"/>
        </w:rPr>
        <w:t>We</w:t>
      </w:r>
      <w:r w:rsidR="00BF6B68">
        <w:rPr>
          <w:rFonts w:eastAsia="新細明體"/>
          <w:lang w:eastAsia="zh-TW"/>
        </w:rPr>
        <w:t xml:space="preserve"> apply the robust control method [1</w:t>
      </w:r>
      <w:r w:rsidR="004865AF">
        <w:rPr>
          <w:rFonts w:eastAsia="新細明體"/>
          <w:lang w:eastAsia="zh-TW"/>
        </w:rPr>
        <w:t>,2</w:t>
      </w:r>
      <w:r w:rsidR="00BF6B68">
        <w:rPr>
          <w:rFonts w:eastAsia="新細明體"/>
          <w:lang w:eastAsia="zh-TW"/>
        </w:rPr>
        <w:t>] to</w:t>
      </w:r>
      <w:r w:rsidR="00661145">
        <w:rPr>
          <w:rFonts w:eastAsia="新細明體"/>
          <w:lang w:eastAsia="zh-TW"/>
        </w:rPr>
        <w:t xml:space="preserve"> construct smooth </w:t>
      </w:r>
      <w:r w:rsidR="00BF6B68">
        <w:rPr>
          <w:rFonts w:eastAsia="新細明體"/>
          <w:lang w:eastAsia="zh-TW"/>
        </w:rPr>
        <w:t xml:space="preserve">optimal </w:t>
      </w:r>
      <w:r w:rsidR="00661145">
        <w:rPr>
          <w:rFonts w:eastAsia="新細明體"/>
          <w:lang w:eastAsia="zh-TW"/>
        </w:rPr>
        <w:t>control pulses to enhance the gate fidelity and</w:t>
      </w:r>
      <w:r w:rsidR="004865AF">
        <w:rPr>
          <w:rFonts w:eastAsia="新細明體"/>
          <w:lang w:eastAsia="zh-TW"/>
        </w:rPr>
        <w:t xml:space="preserve"> </w:t>
      </w:r>
      <w:r w:rsidR="00661145">
        <w:rPr>
          <w:rFonts w:eastAsia="新細明體"/>
          <w:lang w:eastAsia="zh-TW"/>
        </w:rPr>
        <w:t xml:space="preserve">enlarge the robust window </w:t>
      </w:r>
      <w:r w:rsidR="006A745C">
        <w:rPr>
          <w:rFonts w:eastAsia="新細明體"/>
          <w:lang w:eastAsia="zh-TW"/>
        </w:rPr>
        <w:t>against noises</w:t>
      </w:r>
      <w:r w:rsidR="00661145">
        <w:rPr>
          <w:rFonts w:eastAsia="新細明體"/>
          <w:lang w:eastAsia="zh-TW"/>
        </w:rPr>
        <w:t xml:space="preserve"> and </w:t>
      </w:r>
      <w:r w:rsidR="00B6639D">
        <w:rPr>
          <w:rFonts w:eastAsia="新細明體"/>
          <w:lang w:eastAsia="zh-TW"/>
        </w:rPr>
        <w:t>system parameter</w:t>
      </w:r>
      <w:r w:rsidR="00B6639D">
        <w:rPr>
          <w:rFonts w:eastAsia="新細明體"/>
          <w:lang w:eastAsia="zh-TW"/>
        </w:rPr>
        <w:t xml:space="preserve"> </w:t>
      </w:r>
      <w:r w:rsidR="00661145">
        <w:rPr>
          <w:rFonts w:eastAsia="新細明體"/>
          <w:lang w:eastAsia="zh-TW"/>
        </w:rPr>
        <w:t xml:space="preserve">uncertainties for superconducting </w:t>
      </w:r>
      <w:proofErr w:type="spellStart"/>
      <w:r w:rsidR="006A745C">
        <w:rPr>
          <w:rFonts w:eastAsia="新細明體"/>
          <w:lang w:eastAsia="zh-TW"/>
        </w:rPr>
        <w:t>transmon</w:t>
      </w:r>
      <w:proofErr w:type="spellEnd"/>
      <w:r w:rsidR="006A745C">
        <w:rPr>
          <w:rFonts w:eastAsia="新細明體"/>
          <w:lang w:eastAsia="zh-TW"/>
        </w:rPr>
        <w:t xml:space="preserve"> </w:t>
      </w:r>
      <w:r w:rsidR="00661145">
        <w:rPr>
          <w:rFonts w:eastAsia="新細明體"/>
          <w:lang w:eastAsia="zh-TW"/>
        </w:rPr>
        <w:t xml:space="preserve">qubits and semiconductor </w:t>
      </w:r>
      <w:r w:rsidR="006A745C">
        <w:rPr>
          <w:rFonts w:eastAsia="新細明體"/>
          <w:lang w:eastAsia="zh-TW"/>
        </w:rPr>
        <w:t xml:space="preserve">silicon-based quantum-dot electron </w:t>
      </w:r>
      <w:r w:rsidR="00661145">
        <w:rPr>
          <w:rFonts w:eastAsia="新細明體"/>
          <w:lang w:eastAsia="zh-TW"/>
        </w:rPr>
        <w:t xml:space="preserve">spin qubits. </w:t>
      </w:r>
    </w:p>
    <w:p w14:paraId="1A494100" w14:textId="6B019294" w:rsidR="00000000" w:rsidRPr="004865AF" w:rsidRDefault="0053574F" w:rsidP="00CE032F">
      <w:pPr>
        <w:ind w:firstLineChars="200" w:firstLine="480"/>
        <w:jc w:val="both"/>
        <w:rPr>
          <w:rFonts w:eastAsia="新細明體"/>
          <w:lang w:eastAsia="zh-TW"/>
        </w:rPr>
      </w:pPr>
      <w:r w:rsidRPr="004865AF">
        <w:rPr>
          <w:rFonts w:eastAsia="新細明體"/>
          <w:lang w:eastAsia="zh-TW"/>
        </w:rPr>
        <w:t xml:space="preserve">The </w:t>
      </w:r>
      <w:r w:rsidR="004865AF">
        <w:rPr>
          <w:rFonts w:eastAsia="新細明體"/>
          <w:lang w:eastAsia="zh-TW"/>
        </w:rPr>
        <w:t>two-qubit</w:t>
      </w:r>
      <w:r w:rsidRPr="004865AF">
        <w:rPr>
          <w:rFonts w:eastAsia="新細明體"/>
          <w:lang w:eastAsia="zh-TW"/>
        </w:rPr>
        <w:t xml:space="preserve"> CZ gate infidelity </w:t>
      </w:r>
      <w:r w:rsidR="004865AF">
        <w:rPr>
          <w:rFonts w:eastAsia="新細明體"/>
          <w:lang w:eastAsia="zh-TW"/>
        </w:rPr>
        <w:t xml:space="preserve">of the </w:t>
      </w:r>
      <w:r w:rsidR="006A745C">
        <w:rPr>
          <w:rFonts w:eastAsia="新細明體"/>
          <w:lang w:eastAsia="zh-TW"/>
        </w:rPr>
        <w:t xml:space="preserve">directly-coupled </w:t>
      </w:r>
      <w:r w:rsidR="004865AF">
        <w:rPr>
          <w:rFonts w:eastAsia="新細明體"/>
          <w:lang w:eastAsia="zh-TW"/>
        </w:rPr>
        <w:t xml:space="preserve">superconducting </w:t>
      </w:r>
      <w:proofErr w:type="spellStart"/>
      <w:r w:rsidR="004865AF">
        <w:rPr>
          <w:rFonts w:eastAsia="新細明體"/>
          <w:lang w:eastAsia="zh-TW"/>
        </w:rPr>
        <w:t>transmon</w:t>
      </w:r>
      <w:proofErr w:type="spellEnd"/>
      <w:r w:rsidR="004865AF">
        <w:rPr>
          <w:rFonts w:eastAsia="新細明體"/>
          <w:lang w:eastAsia="zh-TW"/>
        </w:rPr>
        <w:t xml:space="preserve"> qubits </w:t>
      </w:r>
      <w:r w:rsidRPr="004865AF">
        <w:rPr>
          <w:rFonts w:eastAsia="新細明體"/>
          <w:lang w:eastAsia="zh-TW"/>
        </w:rPr>
        <w:t>with characterized noises</w:t>
      </w:r>
      <w:r w:rsidR="005C04C2">
        <w:rPr>
          <w:rFonts w:eastAsia="新細明體"/>
          <w:lang w:eastAsia="zh-TW"/>
        </w:rPr>
        <w:t xml:space="preserve"> of </w:t>
      </w:r>
      <w:bookmarkStart w:id="2" w:name="_Hlk138377710"/>
      <w:r w:rsidR="00177D72" w:rsidRPr="005C04C2">
        <w:rPr>
          <w:rFonts w:eastAsia="新細明體"/>
          <w:lang w:eastAsia="zh-TW"/>
        </w:rPr>
        <w:t xml:space="preserve">the </w:t>
      </w:r>
      <w:r w:rsidR="00177D72">
        <w:rPr>
          <w:rFonts w:eastAsia="新細明體"/>
          <w:lang w:eastAsia="zh-TW"/>
        </w:rPr>
        <w:t>fast dephasing</w:t>
      </w:r>
      <w:r w:rsidR="00177D72" w:rsidRPr="00177D72">
        <w:rPr>
          <w:rFonts w:eastAsia="新細明體"/>
          <w:lang w:eastAsia="zh-TW"/>
        </w:rPr>
        <w:t xml:space="preserve"> </w:t>
      </w:r>
      <m:oMath>
        <m:sSub>
          <m:sSubPr>
            <m:ctrlPr>
              <w:rPr>
                <w:rFonts w:ascii="Cambria Math" w:eastAsia="新細明體" w:hAnsi="Cambria Math"/>
                <w:bCs/>
                <w:i/>
                <w:iCs/>
                <w:lang w:eastAsia="zh-TW"/>
              </w:rPr>
            </m:ctrlPr>
          </m:sSubPr>
          <m:e>
            <m:r>
              <w:rPr>
                <w:rFonts w:ascii="Cambria Math" w:eastAsia="新細明體" w:hAnsi="Cambria Math"/>
                <w:lang w:eastAsia="zh-TW"/>
              </w:rPr>
              <m:t>T</m:t>
            </m:r>
          </m:e>
          <m:sub>
            <m:r>
              <w:rPr>
                <w:rFonts w:ascii="Cambria Math" w:eastAsia="新細明體" w:hAnsi="Cambria Math"/>
                <w:lang w:eastAsia="zh-TW"/>
              </w:rPr>
              <m:t>ϕ,1</m:t>
            </m:r>
          </m:sub>
        </m:sSub>
      </m:oMath>
      <w:r w:rsidR="00177D72" w:rsidRPr="00177D72">
        <w:rPr>
          <w:rFonts w:eastAsia="新細明體"/>
          <w:bCs/>
          <w:lang w:eastAsia="zh-TW"/>
        </w:rPr>
        <w:t xml:space="preserve"> </w:t>
      </w:r>
      <w:r w:rsidR="00177D72">
        <w:rPr>
          <w:rFonts w:eastAsia="新細明體"/>
          <w:bCs/>
          <w:lang w:eastAsia="zh-TW"/>
        </w:rPr>
        <w:t>contributed from</w:t>
      </w:r>
      <w:bookmarkEnd w:id="2"/>
      <w:r w:rsidR="00177D72">
        <w:rPr>
          <w:rFonts w:eastAsia="新細明體"/>
          <w:bCs/>
          <w:lang w:eastAsia="zh-TW"/>
        </w:rPr>
        <w:t xml:space="preserve"> </w:t>
      </w:r>
      <w:r w:rsidR="005C04C2">
        <w:rPr>
          <w:rFonts w:eastAsia="新細明體"/>
          <w:lang w:eastAsia="zh-TW"/>
        </w:rPr>
        <w:t xml:space="preserve">the </w:t>
      </w:r>
      <w:r w:rsidR="005C04C2" w:rsidRPr="005C04C2">
        <w:rPr>
          <w:rFonts w:eastAsia="新細明體"/>
          <w:lang w:eastAsia="zh-TW"/>
        </w:rPr>
        <w:t xml:space="preserve">energy relaxation </w:t>
      </w:r>
      <m:oMath>
        <m:sSub>
          <m:sSub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bPr>
          <m:e>
            <m:r>
              <w:rPr>
                <w:rFonts w:ascii="Cambria Math" w:eastAsia="新細明體" w:hAnsi="Cambria Math"/>
                <w:lang w:eastAsia="zh-TW"/>
              </w:rPr>
              <m:t>T</m:t>
            </m:r>
          </m:e>
          <m:sub>
            <m:r>
              <w:rPr>
                <w:rFonts w:ascii="Cambria Math" w:eastAsia="新細明體" w:hAnsi="Cambria Math"/>
                <w:lang w:eastAsia="zh-TW"/>
              </w:rPr>
              <m:t>1</m:t>
            </m:r>
          </m:sub>
        </m:sSub>
        <m:r>
          <w:rPr>
            <w:rFonts w:ascii="Cambria Math" w:eastAsia="新細明體" w:hAnsi="Cambria Math"/>
            <w:lang w:eastAsia="zh-TW"/>
          </w:rPr>
          <m:t> </m:t>
        </m:r>
      </m:oMath>
      <w:r w:rsidR="005C04C2">
        <w:rPr>
          <w:rFonts w:eastAsia="新細明體"/>
          <w:lang w:eastAsia="zh-TW"/>
        </w:rPr>
        <w:t xml:space="preserve"> and </w:t>
      </w:r>
      <w:r w:rsidR="00177D72">
        <w:rPr>
          <w:rFonts w:eastAsia="新細明體"/>
          <w:lang w:eastAsia="zh-TW"/>
        </w:rPr>
        <w:t xml:space="preserve">from </w:t>
      </w:r>
      <w:r w:rsidR="005C04C2" w:rsidRPr="005C04C2">
        <w:rPr>
          <w:rFonts w:eastAsia="新細明體"/>
          <w:lang w:eastAsia="zh-TW"/>
        </w:rPr>
        <w:t xml:space="preserve">white noise </w:t>
      </w:r>
      <w:r w:rsidR="005C04C2">
        <w:rPr>
          <w:rFonts w:eastAsia="新細明體"/>
          <w:lang w:eastAsia="zh-TW"/>
        </w:rPr>
        <w:t xml:space="preserve">potentially </w:t>
      </w:r>
      <w:r w:rsidR="00177D72">
        <w:rPr>
          <w:rFonts w:eastAsia="新細明體"/>
          <w:lang w:eastAsia="zh-TW"/>
        </w:rPr>
        <w:t>due to</w:t>
      </w:r>
      <w:r w:rsidR="005C04C2" w:rsidRPr="005C04C2">
        <w:rPr>
          <w:rFonts w:eastAsia="新細明體"/>
          <w:lang w:eastAsia="zh-TW"/>
        </w:rPr>
        <w:t xml:space="preserve"> </w:t>
      </w:r>
      <w:r w:rsidR="005C04C2">
        <w:rPr>
          <w:rFonts w:eastAsia="新細明體"/>
          <w:lang w:eastAsia="zh-TW"/>
        </w:rPr>
        <w:t xml:space="preserve">the </w:t>
      </w:r>
      <w:r w:rsidR="005C04C2" w:rsidRPr="005C04C2">
        <w:rPr>
          <w:rFonts w:eastAsia="新細明體"/>
          <w:lang w:eastAsia="zh-TW"/>
        </w:rPr>
        <w:t>room temperature control electronics (RTCE)</w:t>
      </w:r>
      <w:r w:rsidR="00177D72">
        <w:rPr>
          <w:rFonts w:eastAsia="新細明體"/>
          <w:lang w:eastAsia="zh-TW"/>
        </w:rPr>
        <w:t>,</w:t>
      </w:r>
      <w:r w:rsidR="005C04C2">
        <w:rPr>
          <w:rFonts w:eastAsia="新細明體"/>
          <w:lang w:eastAsia="zh-TW"/>
        </w:rPr>
        <w:t xml:space="preserve"> </w:t>
      </w:r>
      <w:r w:rsidR="00177D72">
        <w:rPr>
          <w:rFonts w:eastAsia="新細明體"/>
          <w:lang w:eastAsia="zh-TW"/>
        </w:rPr>
        <w:t>and</w:t>
      </w:r>
      <w:r w:rsidR="00177D72" w:rsidRPr="00177D72">
        <w:rPr>
          <w:rFonts w:eastAsia="新細明體"/>
          <w:lang w:eastAsia="zh-TW"/>
        </w:rPr>
        <w:t xml:space="preserve"> </w:t>
      </w:r>
      <w:r w:rsidR="00177D72">
        <w:rPr>
          <w:rFonts w:eastAsia="新細明體"/>
          <w:lang w:eastAsia="zh-TW"/>
        </w:rPr>
        <w:t xml:space="preserve">of </w:t>
      </w:r>
      <w:r w:rsidR="00177D72" w:rsidRPr="00177D72">
        <w:rPr>
          <w:rFonts w:eastAsia="新細明體"/>
          <w:lang w:eastAsia="zh-TW"/>
        </w:rPr>
        <w:t xml:space="preserve">the </w:t>
      </w:r>
      <w:r w:rsidR="00177D72">
        <w:rPr>
          <w:rFonts w:eastAsia="新細明體"/>
          <w:lang w:eastAsia="zh-TW"/>
        </w:rPr>
        <w:t>slow</w:t>
      </w:r>
      <w:r w:rsidR="00177D72" w:rsidRPr="00177D72">
        <w:rPr>
          <w:rFonts w:eastAsia="新細明體"/>
          <w:lang w:eastAsia="zh-TW"/>
        </w:rPr>
        <w:t xml:space="preserve"> dephasing </w:t>
      </w:r>
      <m:oMath>
        <m:sSub>
          <m:sSubPr>
            <m:ctrlPr>
              <w:rPr>
                <w:rFonts w:ascii="Cambria Math" w:eastAsia="新細明體" w:hAnsi="Cambria Math"/>
                <w:bCs/>
                <w:i/>
                <w:iCs/>
                <w:lang w:eastAsia="zh-TW"/>
              </w:rPr>
            </m:ctrlPr>
          </m:sSubPr>
          <m:e>
            <m:r>
              <w:rPr>
                <w:rFonts w:ascii="Cambria Math" w:eastAsia="新細明體" w:hAnsi="Cambria Math"/>
                <w:lang w:eastAsia="zh-TW"/>
              </w:rPr>
              <m:t>T</m:t>
            </m:r>
          </m:e>
          <m:sub>
            <m:r>
              <w:rPr>
                <w:rFonts w:ascii="Cambria Math" w:eastAsia="新細明體" w:hAnsi="Cambria Math"/>
                <w:lang w:eastAsia="zh-TW"/>
              </w:rPr>
              <m:t>ϕ,</m:t>
            </m:r>
            <m:r>
              <w:rPr>
                <w:rFonts w:ascii="Cambria Math" w:eastAsia="新細明體" w:hAnsi="Cambria Math"/>
                <w:lang w:eastAsia="zh-TW"/>
              </w:rPr>
              <m:t>2</m:t>
            </m:r>
          </m:sub>
        </m:sSub>
      </m:oMath>
      <w:r w:rsidR="00177D72" w:rsidRPr="00177D72">
        <w:rPr>
          <w:rFonts w:eastAsia="新細明體"/>
          <w:bCs/>
          <w:lang w:eastAsia="zh-TW"/>
        </w:rPr>
        <w:t xml:space="preserve"> contributed from</w:t>
      </w:r>
      <w:r w:rsidR="00177D72">
        <w:rPr>
          <w:rFonts w:eastAsia="新細明體"/>
          <w:lang w:eastAsia="zh-TW"/>
        </w:rPr>
        <w:t xml:space="preserve"> </w:t>
      </w:r>
      <w:r w:rsidR="005C04C2" w:rsidRPr="005C04C2">
        <w:rPr>
          <w:rFonts w:eastAsia="新細明體"/>
          <w:lang w:eastAsia="zh-TW"/>
        </w:rPr>
        <w:t>the flux noise</w:t>
      </w:r>
      <w:r w:rsidR="005C04C2">
        <w:rPr>
          <w:rFonts w:eastAsia="新細明體"/>
          <w:lang w:eastAsia="zh-TW"/>
        </w:rPr>
        <w:t xml:space="preserve"> (</w:t>
      </w:r>
      <w:r w:rsidR="005C04C2" w:rsidRPr="005C04C2">
        <w:rPr>
          <w:rFonts w:eastAsia="新細明體"/>
          <w:lang w:eastAsia="zh-TW"/>
        </w:rPr>
        <w:t>1/</w:t>
      </w:r>
      <w:r w:rsidR="005C04C2" w:rsidRPr="005C04C2">
        <w:rPr>
          <w:rFonts w:eastAsia="新細明體"/>
          <w:i/>
          <w:lang w:eastAsia="zh-TW"/>
        </w:rPr>
        <w:t>f</w:t>
      </w:r>
      <w:r w:rsidR="005C04C2">
        <w:rPr>
          <w:rFonts w:eastAsia="新細明體"/>
          <w:lang w:eastAsia="zh-TW"/>
        </w:rPr>
        <w:t xml:space="preserve"> noise)</w:t>
      </w:r>
      <w:r w:rsidR="00177D72">
        <w:rPr>
          <w:rFonts w:eastAsia="新細明體" w:hint="eastAsia"/>
          <w:lang w:eastAsia="zh-TW"/>
        </w:rPr>
        <w:t xml:space="preserve"> </w:t>
      </w:r>
      <w:r w:rsidR="005C04C2">
        <w:rPr>
          <w:rFonts w:eastAsia="新細明體"/>
          <w:lang w:eastAsia="zh-TW"/>
        </w:rPr>
        <w:t>from</w:t>
      </w:r>
      <w:r w:rsidRPr="004865AF">
        <w:rPr>
          <w:rFonts w:eastAsia="新細明體"/>
          <w:lang w:eastAsia="zh-TW"/>
        </w:rPr>
        <w:t xml:space="preserve"> the experiment </w:t>
      </w:r>
      <w:r w:rsidR="004865AF">
        <w:rPr>
          <w:rFonts w:eastAsia="新細明體"/>
          <w:lang w:eastAsia="zh-TW"/>
        </w:rPr>
        <w:t xml:space="preserve">[3] </w:t>
      </w:r>
      <w:bookmarkStart w:id="3" w:name="_Hlk138374270"/>
      <w:r w:rsidRPr="004865AF">
        <w:rPr>
          <w:rFonts w:eastAsia="新細明體"/>
          <w:lang w:eastAsia="zh-TW"/>
        </w:rPr>
        <w:t>can be suppressed to</w:t>
      </w:r>
      <w:bookmarkEnd w:id="3"/>
      <w:r w:rsidRPr="004865AF">
        <w:rPr>
          <w:rFonts w:eastAsia="新細明體"/>
          <w:lang w:eastAsia="zh-TW"/>
        </w:rPr>
        <w:t xml:space="preserve">  </w:t>
      </w:r>
      <m:oMath>
        <m:r>
          <w:rPr>
            <w:rFonts w:ascii="Cambria Math" w:eastAsia="新細明體" w:hAnsi="Cambria Math"/>
            <w:lang w:eastAsia="zh-TW"/>
          </w:rPr>
          <m:t>~4.7×</m:t>
        </m:r>
        <m:sSup>
          <m:sSup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pPr>
          <m:e>
            <m:r>
              <w:rPr>
                <w:rFonts w:ascii="Cambria Math" w:eastAsia="新細明體" w:hAnsi="Cambria Math"/>
                <w:lang w:eastAsia="zh-TW"/>
              </w:rPr>
              <m:t>10</m:t>
            </m:r>
          </m:e>
          <m:sup>
            <m:r>
              <w:rPr>
                <w:rFonts w:ascii="Cambria Math" w:eastAsia="新細明體" w:hAnsi="Cambria Math"/>
                <w:lang w:eastAsia="zh-TW"/>
              </w:rPr>
              <m:t>-4</m:t>
            </m:r>
          </m:sup>
        </m:sSup>
      </m:oMath>
      <w:r w:rsidRPr="004865AF">
        <w:rPr>
          <w:rFonts w:eastAsia="新細明體"/>
          <w:lang w:eastAsia="zh-TW"/>
        </w:rPr>
        <w:t xml:space="preserve">, limited by </w:t>
      </w:r>
      <w:r w:rsidR="004865AF">
        <w:rPr>
          <w:rFonts w:eastAsia="新細明體"/>
          <w:lang w:eastAsia="zh-TW"/>
        </w:rPr>
        <w:t xml:space="preserve">the </w:t>
      </w:r>
      <w:r w:rsidRPr="004865AF">
        <w:rPr>
          <w:rFonts w:eastAsia="新細明體"/>
          <w:lang w:eastAsia="zh-TW"/>
        </w:rPr>
        <w:t xml:space="preserve">energy relaxation </w:t>
      </w:r>
      <w:r w:rsidR="004865AF">
        <w:rPr>
          <w:rFonts w:eastAsia="新細明體"/>
          <w:lang w:eastAsia="zh-TW"/>
        </w:rPr>
        <w:t>time</w:t>
      </w:r>
      <w:r w:rsidRPr="004865AF">
        <w:rPr>
          <w:rFonts w:eastAsia="新細明體"/>
          <w:lang w:eastAsia="zh-TW"/>
        </w:rPr>
        <w:t xml:space="preserve">  </w:t>
      </w:r>
      <m:oMath>
        <m:sSub>
          <m:sSub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bPr>
          <m:e>
            <m:r>
              <w:rPr>
                <w:rFonts w:ascii="Cambria Math" w:eastAsia="新細明體" w:hAnsi="Cambria Math"/>
                <w:lang w:eastAsia="zh-TW"/>
              </w:rPr>
              <m:t>T</m:t>
            </m:r>
          </m:e>
          <m:sub>
            <m:r>
              <w:rPr>
                <w:rFonts w:ascii="Cambria Math" w:eastAsia="新細明體" w:hAnsi="Cambria Math"/>
                <w:lang w:eastAsia="zh-TW"/>
              </w:rPr>
              <m:t>1</m:t>
            </m:r>
          </m:sub>
        </m:sSub>
        <m:r>
          <w:rPr>
            <w:rFonts w:ascii="Cambria Math" w:eastAsia="新細明體" w:hAnsi="Cambria Math"/>
            <w:lang w:eastAsia="zh-TW"/>
          </w:rPr>
          <m:t>=30 μs</m:t>
        </m:r>
      </m:oMath>
      <w:r w:rsidRPr="004865AF">
        <w:rPr>
          <w:rFonts w:eastAsia="新細明體"/>
          <w:lang w:eastAsia="zh-TW"/>
        </w:rPr>
        <w:t xml:space="preserve">. </w:t>
      </w:r>
      <w:r w:rsidR="004865AF">
        <w:rPr>
          <w:rFonts w:eastAsia="新細明體"/>
          <w:lang w:eastAsia="zh-TW"/>
        </w:rPr>
        <w:t>If</w:t>
      </w:r>
      <w:bookmarkStart w:id="4" w:name="_Hlk138375345"/>
      <w:r w:rsidRPr="004865AF">
        <w:rPr>
          <w:rFonts w:eastAsia="新細明體"/>
          <w:lang w:eastAsia="zh-TW"/>
        </w:rPr>
        <w:t xml:space="preserve"> </w:t>
      </w:r>
      <m:oMath>
        <m:sSub>
          <m:sSub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bPr>
          <m:e>
            <m:r>
              <w:rPr>
                <w:rFonts w:ascii="Cambria Math" w:eastAsia="新細明體" w:hAnsi="Cambria Math"/>
                <w:lang w:eastAsia="zh-TW"/>
              </w:rPr>
              <m:t>T</m:t>
            </m:r>
          </m:e>
          <m:sub>
            <m:r>
              <w:rPr>
                <w:rFonts w:ascii="Cambria Math" w:eastAsia="新細明體" w:hAnsi="Cambria Math"/>
                <w:lang w:eastAsia="zh-TW"/>
              </w:rPr>
              <m:t>1</m:t>
            </m:r>
          </m:sub>
        </m:sSub>
      </m:oMath>
      <w:bookmarkEnd w:id="4"/>
      <w:r w:rsidRPr="004865AF">
        <w:rPr>
          <w:rFonts w:eastAsia="新細明體"/>
          <w:lang w:eastAsia="zh-TW"/>
        </w:rPr>
        <w:t xml:space="preserve"> is </w:t>
      </w:r>
      <w:r w:rsidR="004865AF">
        <w:rPr>
          <w:rFonts w:eastAsia="新細明體"/>
          <w:lang w:eastAsia="zh-TW"/>
        </w:rPr>
        <w:t>increased</w:t>
      </w:r>
      <w:r w:rsidRPr="004865AF">
        <w:rPr>
          <w:rFonts w:eastAsia="新細明體"/>
          <w:lang w:eastAsia="zh-TW"/>
        </w:rPr>
        <w:t xml:space="preserve"> to </w:t>
      </w:r>
      <m:oMath>
        <m:r>
          <w:rPr>
            <w:rFonts w:ascii="Cambria Math" w:eastAsia="新細明體" w:hAnsi="Cambria Math"/>
            <w:lang w:eastAsia="zh-TW"/>
          </w:rPr>
          <m:t>360 μs</m:t>
        </m:r>
      </m:oMath>
      <w:r w:rsidR="008E1074">
        <w:rPr>
          <w:rFonts w:eastAsia="新細明體" w:hint="eastAsia"/>
          <w:iCs/>
          <w:lang w:eastAsia="zh-TW"/>
        </w:rPr>
        <w:t xml:space="preserve"> </w:t>
      </w:r>
      <w:r w:rsidR="008E1074">
        <w:rPr>
          <w:rFonts w:eastAsia="新細明體"/>
          <w:iCs/>
          <w:lang w:eastAsia="zh-TW"/>
        </w:rPr>
        <w:t>[4]</w:t>
      </w:r>
      <w:r w:rsidRPr="004865AF">
        <w:rPr>
          <w:rFonts w:eastAsia="新細明體"/>
          <w:lang w:eastAsia="zh-TW"/>
        </w:rPr>
        <w:t>, the infidelity can be further reduced to</w:t>
      </w:r>
      <w:bookmarkStart w:id="5" w:name="_Hlk138374399"/>
      <w:r w:rsidRPr="004865AF">
        <w:rPr>
          <w:rFonts w:eastAsia="新細明體"/>
          <w:lang w:eastAsia="zh-TW"/>
        </w:rPr>
        <w:t xml:space="preserve"> </w:t>
      </w:r>
      <m:oMath>
        <m:r>
          <w:rPr>
            <w:rFonts w:ascii="Cambria Math" w:eastAsia="新細明體" w:hAnsi="Cambria Math"/>
            <w:lang w:eastAsia="zh-TW"/>
          </w:rPr>
          <m:t>≲</m:t>
        </m:r>
        <m:sSup>
          <m:sSup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pPr>
          <m:e>
            <m:r>
              <w:rPr>
                <w:rFonts w:ascii="Cambria Math" w:eastAsia="新細明體" w:hAnsi="Cambria Math"/>
                <w:lang w:eastAsia="zh-TW"/>
              </w:rPr>
              <m:t>10</m:t>
            </m:r>
          </m:e>
          <m:sup>
            <m:r>
              <w:rPr>
                <w:rFonts w:ascii="Cambria Math" w:eastAsia="新細明體" w:hAnsi="Cambria Math"/>
                <w:lang w:eastAsia="zh-TW"/>
              </w:rPr>
              <m:t>-4</m:t>
            </m:r>
          </m:sup>
        </m:sSup>
      </m:oMath>
      <w:r w:rsidR="004865AF">
        <w:rPr>
          <w:rFonts w:eastAsia="新細明體" w:hint="eastAsia"/>
          <w:iCs/>
          <w:lang w:eastAsia="zh-TW"/>
        </w:rPr>
        <w:t>.</w:t>
      </w:r>
      <w:r w:rsidR="004865AF">
        <w:rPr>
          <w:rFonts w:eastAsia="新細明體"/>
          <w:iCs/>
          <w:lang w:eastAsia="zh-TW"/>
        </w:rPr>
        <w:t xml:space="preserve"> </w:t>
      </w:r>
      <w:bookmarkEnd w:id="5"/>
    </w:p>
    <w:p w14:paraId="1B3ED3AD" w14:textId="0AF85E0F" w:rsidR="00C63184" w:rsidRPr="008E1074" w:rsidRDefault="00CE032F" w:rsidP="00FD02C8">
      <w:pPr>
        <w:jc w:val="both"/>
        <w:rPr>
          <w:rFonts w:eastAsia="新細明體" w:hint="eastAsia"/>
          <w:lang w:eastAsia="zh-TW"/>
        </w:rPr>
      </w:pPr>
      <w:r>
        <w:rPr>
          <w:rFonts w:eastAsia="新細明體" w:hint="eastAsia"/>
          <w:lang w:eastAsia="zh-TW"/>
        </w:rPr>
        <w:t xml:space="preserve"> </w:t>
      </w:r>
      <w:r>
        <w:rPr>
          <w:rFonts w:eastAsia="新細明體"/>
          <w:lang w:eastAsia="zh-TW"/>
        </w:rPr>
        <w:t xml:space="preserve">       </w:t>
      </w:r>
      <w:r w:rsidR="00DE2792">
        <w:rPr>
          <w:rFonts w:eastAsia="新細明體"/>
          <w:lang w:eastAsia="zh-TW"/>
        </w:rPr>
        <w:t xml:space="preserve">The </w:t>
      </w:r>
      <w:r>
        <w:rPr>
          <w:rFonts w:eastAsia="新細明體"/>
          <w:lang w:eastAsia="zh-TW"/>
        </w:rPr>
        <w:t>two-qubit CNOT</w:t>
      </w:r>
      <w:r w:rsidR="00DE2792">
        <w:rPr>
          <w:rFonts w:eastAsia="新細明體" w:hint="eastAsia"/>
          <w:lang w:eastAsia="zh-TW"/>
        </w:rPr>
        <w:t xml:space="preserve"> </w:t>
      </w:r>
      <w:r w:rsidR="00DE2792">
        <w:rPr>
          <w:rFonts w:eastAsia="新細明體"/>
          <w:lang w:eastAsia="zh-TW"/>
        </w:rPr>
        <w:t xml:space="preserve">gate infidelity of the </w:t>
      </w:r>
      <w:r w:rsidR="00101388">
        <w:rPr>
          <w:rFonts w:eastAsia="新細明體"/>
          <w:lang w:eastAsia="zh-TW"/>
        </w:rPr>
        <w:t xml:space="preserve">silicon-based quantum-dot </w:t>
      </w:r>
      <w:r w:rsidR="00DE2792">
        <w:rPr>
          <w:rFonts w:eastAsia="新細明體"/>
          <w:lang w:eastAsia="zh-TW"/>
        </w:rPr>
        <w:t>spin qubit</w:t>
      </w:r>
      <w:r w:rsidR="00101388">
        <w:rPr>
          <w:rFonts w:eastAsia="新細明體"/>
          <w:lang w:eastAsia="zh-TW"/>
        </w:rPr>
        <w:t>s</w:t>
      </w:r>
      <w:r w:rsidR="00DE2792">
        <w:rPr>
          <w:rFonts w:eastAsia="新細明體"/>
          <w:lang w:eastAsia="zh-TW"/>
        </w:rPr>
        <w:t xml:space="preserve"> considering the dephasing noise and the control pulse uncertainty </w:t>
      </w:r>
      <w:r w:rsidR="00DE2792" w:rsidRPr="00DE2792">
        <w:rPr>
          <w:rFonts w:eastAsia="新細明體"/>
          <w:lang w:eastAsia="zh-TW"/>
        </w:rPr>
        <w:t xml:space="preserve">can </w:t>
      </w:r>
      <w:r w:rsidR="008133BF">
        <w:rPr>
          <w:rFonts w:eastAsia="新細明體"/>
          <w:lang w:eastAsia="zh-TW"/>
        </w:rPr>
        <w:t xml:space="preserve">still </w:t>
      </w:r>
      <w:r w:rsidR="00DE2792" w:rsidRPr="00DE2792">
        <w:rPr>
          <w:rFonts w:eastAsia="新細明體"/>
          <w:lang w:eastAsia="zh-TW"/>
        </w:rPr>
        <w:t>be suppressed to</w:t>
      </w:r>
      <w:r w:rsidR="00DE2792">
        <w:rPr>
          <w:rFonts w:eastAsia="新細明體"/>
          <w:lang w:eastAsia="zh-TW"/>
        </w:rPr>
        <w:t xml:space="preserve"> </w:t>
      </w:r>
      <w:bookmarkStart w:id="6" w:name="_Hlk138375861"/>
      <m:oMath>
        <m:r>
          <w:rPr>
            <w:rFonts w:ascii="Cambria Math" w:eastAsia="新細明體" w:hAnsi="Cambria Math"/>
            <w:lang w:eastAsia="zh-TW"/>
          </w:rPr>
          <m:t>≲</m:t>
        </m:r>
        <m:sSup>
          <m:sSup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pPr>
          <m:e>
            <m:r>
              <w:rPr>
                <w:rFonts w:ascii="Cambria Math" w:eastAsia="新細明體" w:hAnsi="Cambria Math"/>
                <w:lang w:eastAsia="zh-TW"/>
              </w:rPr>
              <m:t>10</m:t>
            </m:r>
          </m:e>
          <m:sup>
            <m:r>
              <w:rPr>
                <w:rFonts w:ascii="Cambria Math" w:eastAsia="新細明體" w:hAnsi="Cambria Math"/>
                <w:lang w:eastAsia="zh-TW"/>
              </w:rPr>
              <m:t>-4</m:t>
            </m:r>
          </m:sup>
        </m:sSup>
      </m:oMath>
      <w:bookmarkEnd w:id="6"/>
      <w:r w:rsidR="00DE2792" w:rsidRPr="00DE2792">
        <w:rPr>
          <w:rFonts w:eastAsia="新細明體" w:hint="eastAsia"/>
          <w:iCs/>
          <w:lang w:eastAsia="zh-TW"/>
        </w:rPr>
        <w:t>.</w:t>
      </w:r>
      <w:r w:rsidR="00DE2792" w:rsidRPr="00DE2792">
        <w:rPr>
          <w:rFonts w:eastAsia="新細明體"/>
          <w:iCs/>
          <w:lang w:eastAsia="zh-TW"/>
        </w:rPr>
        <w:t xml:space="preserve"> </w:t>
      </w:r>
      <w:r w:rsidR="00DE2792" w:rsidRPr="00DE2792">
        <w:rPr>
          <w:rFonts w:eastAsia="新細明體"/>
          <w:lang w:eastAsia="zh-TW"/>
        </w:rPr>
        <w:t xml:space="preserve">The </w:t>
      </w:r>
      <w:r w:rsidR="00DE2792">
        <w:rPr>
          <w:rFonts w:eastAsia="新細明體"/>
          <w:lang w:eastAsia="zh-TW"/>
        </w:rPr>
        <w:t xml:space="preserve">effect of the </w:t>
      </w:r>
      <w:r w:rsidR="00DE2792" w:rsidRPr="00DE2792">
        <w:rPr>
          <w:rFonts w:eastAsia="新細明體"/>
          <w:lang w:eastAsia="zh-TW"/>
        </w:rPr>
        <w:t>spin relaxation time</w:t>
      </w:r>
      <w:r w:rsidR="00663D93" w:rsidRPr="00663D93">
        <w:rPr>
          <w:rFonts w:eastAsia="新細明體"/>
          <w:lang w:eastAsia="zh-TW"/>
        </w:rPr>
        <w:t xml:space="preserve"> </w:t>
      </w:r>
      <m:oMath>
        <m:sSub>
          <m:sSub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bPr>
          <m:e>
            <m:r>
              <w:rPr>
                <w:rFonts w:ascii="Cambria Math" w:eastAsia="新細明體" w:hAnsi="Cambria Math"/>
                <w:lang w:eastAsia="zh-TW"/>
              </w:rPr>
              <m:t>T</m:t>
            </m:r>
          </m:e>
          <m:sub>
            <m:r>
              <w:rPr>
                <w:rFonts w:ascii="Cambria Math" w:eastAsia="新細明體" w:hAnsi="Cambria Math"/>
                <w:lang w:eastAsia="zh-TW"/>
              </w:rPr>
              <m:t>1</m:t>
            </m:r>
          </m:sub>
        </m:sSub>
      </m:oMath>
      <w:r w:rsidR="00663D93">
        <w:rPr>
          <w:rFonts w:eastAsia="新細明體" w:hint="eastAsia"/>
          <w:iCs/>
          <w:lang w:eastAsia="zh-TW"/>
        </w:rPr>
        <w:t xml:space="preserve"> </w:t>
      </w:r>
      <w:r w:rsidR="00101388">
        <w:rPr>
          <w:rFonts w:eastAsia="新細明體"/>
          <w:iCs/>
          <w:lang w:eastAsia="zh-TW"/>
        </w:rPr>
        <w:t xml:space="preserve">in the spin-qubit system </w:t>
      </w:r>
      <w:r w:rsidR="00DE2792">
        <w:rPr>
          <w:rFonts w:eastAsia="新細明體"/>
          <w:lang w:eastAsia="zh-TW"/>
        </w:rPr>
        <w:t xml:space="preserve">does not </w:t>
      </w:r>
      <w:r w:rsidR="00101388">
        <w:rPr>
          <w:rFonts w:eastAsia="新細明體"/>
          <w:lang w:eastAsia="zh-TW"/>
        </w:rPr>
        <w:t>contribute appreciably</w:t>
      </w:r>
      <w:r w:rsidR="00DE2792">
        <w:rPr>
          <w:rFonts w:eastAsia="新細明體"/>
          <w:lang w:eastAsia="zh-TW"/>
        </w:rPr>
        <w:t xml:space="preserve"> </w:t>
      </w:r>
      <w:r w:rsidR="00101388">
        <w:rPr>
          <w:rFonts w:eastAsia="新細明體"/>
          <w:lang w:eastAsia="zh-TW"/>
        </w:rPr>
        <w:t xml:space="preserve">to </w:t>
      </w:r>
      <w:r w:rsidR="00DE2792">
        <w:rPr>
          <w:rFonts w:eastAsia="新細明體"/>
          <w:lang w:eastAsia="zh-TW"/>
        </w:rPr>
        <w:t xml:space="preserve">the gate infidelity </w:t>
      </w:r>
      <w:r w:rsidR="00101388">
        <w:rPr>
          <w:rFonts w:eastAsia="新細明體"/>
          <w:lang w:eastAsia="zh-TW"/>
        </w:rPr>
        <w:t xml:space="preserve">as compared to </w:t>
      </w:r>
      <w:r w:rsidR="00101388" w:rsidRPr="00101388">
        <w:rPr>
          <w:rFonts w:eastAsia="新細明體"/>
          <w:lang w:eastAsia="zh-TW"/>
        </w:rPr>
        <w:t xml:space="preserve">the spin dephasing time </w:t>
      </w:r>
      <m:oMath>
        <m:sSubSup>
          <m:sSubSup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bSupPr>
          <m:e>
            <m:r>
              <w:rPr>
                <w:rFonts w:ascii="Cambria Math" w:eastAsia="新細明體" w:hAnsi="Cambria Math"/>
                <w:lang w:eastAsia="zh-TW"/>
              </w:rPr>
              <m:t>T</m:t>
            </m:r>
          </m:e>
          <m:sub>
            <m:r>
              <w:rPr>
                <w:rFonts w:ascii="Cambria Math" w:eastAsia="新細明體" w:hAnsi="Cambria Math"/>
                <w:lang w:eastAsia="zh-TW"/>
              </w:rPr>
              <m:t>2</m:t>
            </m:r>
          </m:sub>
          <m:sup>
            <m:r>
              <w:rPr>
                <w:rFonts w:ascii="Cambria Math" w:eastAsia="新細明體" w:hAnsi="Cambria Math"/>
                <w:lang w:eastAsia="zh-TW"/>
              </w:rPr>
              <m:t>⋆</m:t>
            </m:r>
          </m:sup>
        </m:sSubSup>
      </m:oMath>
      <w:r w:rsidR="00101388">
        <w:rPr>
          <w:rFonts w:eastAsia="新細明體" w:hint="eastAsia"/>
          <w:iCs/>
          <w:lang w:eastAsia="zh-TW"/>
        </w:rPr>
        <w:t xml:space="preserve"> </w:t>
      </w:r>
      <w:r w:rsidR="00101388">
        <w:rPr>
          <w:rFonts w:eastAsia="新細明體"/>
          <w:lang w:eastAsia="zh-TW"/>
        </w:rPr>
        <w:t>since</w:t>
      </w:r>
      <w:r w:rsidR="00663D93" w:rsidRPr="00663D93">
        <w:rPr>
          <w:rFonts w:eastAsia="新細明體"/>
          <w:lang w:eastAsia="zh-TW"/>
        </w:rPr>
        <w:t xml:space="preserve"> </w:t>
      </w:r>
      <m:oMath>
        <m:sSub>
          <m:sSub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bPr>
          <m:e>
            <m:r>
              <w:rPr>
                <w:rFonts w:ascii="Cambria Math" w:eastAsia="新細明體" w:hAnsi="Cambria Math"/>
                <w:lang w:eastAsia="zh-TW"/>
              </w:rPr>
              <m:t>T</m:t>
            </m:r>
          </m:e>
          <m:sub>
            <m:r>
              <w:rPr>
                <w:rFonts w:ascii="Cambria Math" w:eastAsia="新細明體" w:hAnsi="Cambria Math"/>
                <w:lang w:eastAsia="zh-TW"/>
              </w:rPr>
              <m:t>1</m:t>
            </m:r>
          </m:sub>
        </m:sSub>
      </m:oMath>
      <w:r w:rsidR="00DE2792">
        <w:rPr>
          <w:rFonts w:eastAsia="新細明體"/>
          <w:lang w:eastAsia="zh-TW"/>
        </w:rPr>
        <w:t xml:space="preserve"> </w:t>
      </w:r>
      <w:r w:rsidR="00DE2792" w:rsidRPr="00DE2792">
        <w:rPr>
          <w:rFonts w:eastAsia="新細明體"/>
          <w:lang w:eastAsia="zh-TW"/>
        </w:rPr>
        <w:t xml:space="preserve">is usually </w:t>
      </w:r>
      <w:r w:rsidR="00101388">
        <w:rPr>
          <w:rFonts w:eastAsia="新細明體"/>
          <w:lang w:eastAsia="zh-TW"/>
        </w:rPr>
        <w:t>two or three orders of magnitude</w:t>
      </w:r>
      <w:r w:rsidR="00DE2792" w:rsidRPr="00DE2792">
        <w:rPr>
          <w:rFonts w:eastAsia="新細明體"/>
          <w:lang w:eastAsia="zh-TW"/>
        </w:rPr>
        <w:t xml:space="preserve"> larger than </w:t>
      </w:r>
      <w:bookmarkStart w:id="7" w:name="_Hlk138379988"/>
      <m:oMath>
        <m:sSubSup>
          <m:sSubSup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bSupPr>
          <m:e>
            <m:r>
              <w:rPr>
                <w:rFonts w:ascii="Cambria Math" w:eastAsia="新細明體" w:hAnsi="Cambria Math"/>
                <w:lang w:eastAsia="zh-TW"/>
              </w:rPr>
              <m:t>T</m:t>
            </m:r>
          </m:e>
          <m:sub>
            <m:r>
              <w:rPr>
                <w:rFonts w:ascii="Cambria Math" w:eastAsia="新細明體" w:hAnsi="Cambria Math"/>
                <w:lang w:eastAsia="zh-TW"/>
              </w:rPr>
              <m:t>2</m:t>
            </m:r>
          </m:sub>
          <m:sup>
            <m:r>
              <w:rPr>
                <w:rFonts w:ascii="Cambria Math" w:eastAsia="新細明體" w:hAnsi="Cambria Math"/>
                <w:lang w:eastAsia="zh-TW"/>
              </w:rPr>
              <m:t>⋆</m:t>
            </m:r>
          </m:sup>
        </m:sSubSup>
      </m:oMath>
      <w:bookmarkEnd w:id="7"/>
      <w:r w:rsidR="00DE2792" w:rsidRPr="00DE2792">
        <w:rPr>
          <w:rFonts w:eastAsia="新細明體"/>
          <w:lang w:eastAsia="zh-TW"/>
        </w:rPr>
        <w:t>.</w:t>
      </w:r>
      <w:r w:rsidR="00CE509D">
        <w:rPr>
          <w:rFonts w:eastAsia="新細明體"/>
          <w:lang w:eastAsia="zh-TW"/>
        </w:rPr>
        <w:t xml:space="preserve"> </w:t>
      </w:r>
      <w:r w:rsidR="00663D93">
        <w:rPr>
          <w:rFonts w:eastAsia="新細明體"/>
          <w:lang w:eastAsia="zh-TW"/>
        </w:rPr>
        <w:t>We also demonstrate</w:t>
      </w:r>
      <w:r w:rsidR="00663D93" w:rsidRPr="00663D93">
        <w:rPr>
          <w:rFonts w:eastAsia="新細明體"/>
          <w:lang w:eastAsia="zh-TW"/>
        </w:rPr>
        <w:t xml:space="preserve"> </w:t>
      </w:r>
      <w:r w:rsidR="00663D93">
        <w:rPr>
          <w:rFonts w:eastAsia="新細明體"/>
          <w:lang w:eastAsia="zh-TW"/>
        </w:rPr>
        <w:t xml:space="preserve">a </w:t>
      </w:r>
      <w:r w:rsidR="00663D93" w:rsidRPr="00663D93">
        <w:rPr>
          <w:rFonts w:eastAsia="新細明體"/>
          <w:lang w:eastAsia="zh-TW"/>
        </w:rPr>
        <w:t>high-fidelity</w:t>
      </w:r>
      <w:r w:rsidR="00663D93">
        <w:rPr>
          <w:rFonts w:eastAsia="新細明體"/>
          <w:lang w:eastAsia="zh-TW"/>
        </w:rPr>
        <w:t xml:space="preserve"> (infidelity</w:t>
      </w:r>
      <w:r w:rsidR="00663D93" w:rsidRPr="00663D93">
        <w:rPr>
          <w:rFonts w:eastAsia="新細明體"/>
          <w:lang w:eastAsia="zh-TW"/>
        </w:rPr>
        <w:t xml:space="preserve"> </w:t>
      </w:r>
      <m:oMath>
        <m:r>
          <w:rPr>
            <w:rFonts w:ascii="Cambria Math" w:eastAsia="新細明體" w:hAnsi="Cambria Math"/>
            <w:lang w:eastAsia="zh-TW"/>
          </w:rPr>
          <m:t>≲</m:t>
        </m:r>
        <m:sSup>
          <m:sSupPr>
            <m:ctrlPr>
              <w:rPr>
                <w:rFonts w:ascii="Cambria Math" w:eastAsia="新細明體" w:hAnsi="Cambria Math"/>
                <w:i/>
                <w:iCs/>
                <w:lang w:eastAsia="zh-TW"/>
              </w:rPr>
            </m:ctrlPr>
          </m:sSupPr>
          <m:e>
            <m:r>
              <w:rPr>
                <w:rFonts w:ascii="Cambria Math" w:eastAsia="新細明體" w:hAnsi="Cambria Math"/>
                <w:lang w:eastAsia="zh-TW"/>
              </w:rPr>
              <m:t>10</m:t>
            </m:r>
          </m:e>
          <m:sup>
            <m:r>
              <w:rPr>
                <w:rFonts w:ascii="Cambria Math" w:eastAsia="新細明體" w:hAnsi="Cambria Math"/>
                <w:lang w:eastAsia="zh-TW"/>
              </w:rPr>
              <m:t>-4</m:t>
            </m:r>
          </m:sup>
        </m:sSup>
      </m:oMath>
      <w:r w:rsidR="00663D93">
        <w:rPr>
          <w:rFonts w:eastAsia="新細明體" w:hint="eastAsia"/>
          <w:iCs/>
          <w:lang w:eastAsia="zh-TW"/>
        </w:rPr>
        <w:t>)</w:t>
      </w:r>
      <w:r w:rsidR="00663D93">
        <w:rPr>
          <w:rFonts w:eastAsia="新細明體"/>
          <w:iCs/>
          <w:lang w:eastAsia="zh-TW"/>
        </w:rPr>
        <w:t xml:space="preserve"> </w:t>
      </w:r>
      <w:r w:rsidR="00663D93" w:rsidRPr="00663D93">
        <w:rPr>
          <w:rFonts w:eastAsia="新細明體"/>
          <w:lang w:eastAsia="zh-TW"/>
        </w:rPr>
        <w:t xml:space="preserve"> three-qubit Toffoli gate </w:t>
      </w:r>
      <w:r w:rsidR="00663D93">
        <w:rPr>
          <w:rFonts w:eastAsia="新細明體"/>
          <w:lang w:eastAsia="zh-TW"/>
        </w:rPr>
        <w:t xml:space="preserve">robust </w:t>
      </w:r>
      <w:r w:rsidR="00663D93" w:rsidRPr="00663D93">
        <w:rPr>
          <w:rFonts w:eastAsia="新細明體"/>
          <w:lang w:eastAsia="zh-TW"/>
        </w:rPr>
        <w:t>against the dephasing noise</w:t>
      </w:r>
      <w:r w:rsidR="008133BF">
        <w:rPr>
          <w:rFonts w:eastAsia="新細明體"/>
          <w:lang w:eastAsia="zh-TW"/>
        </w:rPr>
        <w:t xml:space="preserve"> (the </w:t>
      </w:r>
      <w:r w:rsidR="00663D93" w:rsidRPr="00663D93">
        <w:rPr>
          <w:rFonts w:eastAsia="新細明體"/>
          <w:lang w:eastAsia="zh-TW"/>
        </w:rPr>
        <w:t>dominant error contribution</w:t>
      </w:r>
      <w:r w:rsidR="00663D93">
        <w:rPr>
          <w:rFonts w:eastAsia="新細明體"/>
          <w:lang w:eastAsia="zh-TW"/>
        </w:rPr>
        <w:t xml:space="preserve"> d</w:t>
      </w:r>
      <w:r w:rsidR="00663D93" w:rsidRPr="00663D93">
        <w:rPr>
          <w:rFonts w:eastAsia="新細明體"/>
          <w:lang w:eastAsia="zh-TW"/>
        </w:rPr>
        <w:t xml:space="preserve">ue to </w:t>
      </w:r>
      <w:r w:rsidR="00663D93">
        <w:rPr>
          <w:rFonts w:eastAsia="新細明體"/>
          <w:lang w:eastAsia="zh-TW"/>
        </w:rPr>
        <w:t xml:space="preserve">the </w:t>
      </w:r>
      <w:r w:rsidR="00663D93" w:rsidRPr="00663D93">
        <w:rPr>
          <w:rFonts w:eastAsia="新細明體"/>
          <w:lang w:eastAsia="zh-TW"/>
        </w:rPr>
        <w:t>longer gate time</w:t>
      </w:r>
      <w:r w:rsidR="00663D93">
        <w:rPr>
          <w:rFonts w:eastAsia="新細明體"/>
          <w:lang w:eastAsia="zh-TW"/>
        </w:rPr>
        <w:t xml:space="preserve"> of the Toffoli gate</w:t>
      </w:r>
      <w:r w:rsidR="008133BF">
        <w:rPr>
          <w:rFonts w:eastAsia="新細明體"/>
          <w:lang w:eastAsia="zh-TW"/>
        </w:rPr>
        <w:t>)</w:t>
      </w:r>
      <w:r w:rsidR="00663D93">
        <w:rPr>
          <w:rFonts w:eastAsia="新細明體"/>
          <w:lang w:eastAsia="zh-TW"/>
        </w:rPr>
        <w:t>.</w:t>
      </w:r>
      <w:r w:rsidR="00663D93" w:rsidRPr="00663D93">
        <w:rPr>
          <w:rFonts w:eastAsia="新細明體"/>
          <w:lang w:eastAsia="zh-TW"/>
        </w:rPr>
        <w:t xml:space="preserve"> </w:t>
      </w:r>
      <w:r w:rsidR="00663D93">
        <w:rPr>
          <w:rFonts w:eastAsia="新細明體"/>
          <w:lang w:eastAsia="zh-TW"/>
        </w:rPr>
        <w:t xml:space="preserve"> </w:t>
      </w:r>
    </w:p>
    <w:p w14:paraId="4B85C400" w14:textId="77777777" w:rsidR="00F06B77" w:rsidRPr="00F06B77" w:rsidRDefault="00F06B77" w:rsidP="00FD02C8">
      <w:pPr>
        <w:jc w:val="both"/>
        <w:rPr>
          <w:lang w:eastAsia="ja-JP"/>
        </w:rPr>
      </w:pPr>
    </w:p>
    <w:p w14:paraId="544B47B2" w14:textId="6CECB607" w:rsidR="00064CEF" w:rsidRPr="0009441D" w:rsidRDefault="000B5372" w:rsidP="0046181A">
      <w:pPr>
        <w:tabs>
          <w:tab w:val="left" w:pos="2182"/>
        </w:tabs>
        <w:jc w:val="both"/>
        <w:rPr>
          <w:lang w:eastAsia="ja-JP"/>
        </w:rPr>
      </w:pPr>
      <w:r w:rsidRPr="0009441D">
        <w:rPr>
          <w:lang w:eastAsia="ja-JP"/>
        </w:rPr>
        <w:t>Reference</w:t>
      </w:r>
      <w:r w:rsidR="00165DE4">
        <w:rPr>
          <w:lang w:eastAsia="ja-JP"/>
        </w:rPr>
        <w:t>s</w:t>
      </w:r>
      <w:r w:rsidRPr="0009441D">
        <w:rPr>
          <w:lang w:eastAsia="ja-JP"/>
        </w:rPr>
        <w:t xml:space="preserve">: </w:t>
      </w:r>
      <w:r w:rsidR="0046181A">
        <w:rPr>
          <w:lang w:eastAsia="ja-JP"/>
        </w:rPr>
        <w:tab/>
      </w:r>
    </w:p>
    <w:p w14:paraId="00A58DAE" w14:textId="0682DD7B" w:rsidR="0046181A" w:rsidRDefault="0046181A" w:rsidP="0046181A">
      <w:pPr>
        <w:jc w:val="both"/>
        <w:rPr>
          <w:rFonts w:eastAsia="新細明體"/>
          <w:sz w:val="20"/>
          <w:lang w:eastAsia="zh-TW"/>
        </w:rPr>
      </w:pPr>
      <w:r>
        <w:rPr>
          <w:rFonts w:eastAsia="新細明體" w:hint="eastAsia"/>
          <w:sz w:val="20"/>
          <w:lang w:eastAsia="zh-TW"/>
        </w:rPr>
        <w:t>[</w:t>
      </w:r>
      <w:r>
        <w:rPr>
          <w:rFonts w:eastAsia="新細明體"/>
          <w:sz w:val="20"/>
          <w:lang w:eastAsia="zh-TW"/>
        </w:rPr>
        <w:t xml:space="preserve">1] </w:t>
      </w:r>
      <w:r w:rsidRPr="00147008">
        <w:rPr>
          <w:rFonts w:eastAsia="新細明體"/>
          <w:sz w:val="20"/>
          <w:lang w:eastAsia="zh-TW"/>
        </w:rPr>
        <w:t xml:space="preserve">C.-H. Huang and H.-S. Goan, Phys. Rev. A </w:t>
      </w:r>
      <w:r w:rsidRPr="00597014">
        <w:rPr>
          <w:rFonts w:eastAsia="新細明體"/>
          <w:b/>
          <w:sz w:val="20"/>
          <w:lang w:eastAsia="zh-TW"/>
        </w:rPr>
        <w:t>95</w:t>
      </w:r>
      <w:r w:rsidRPr="00147008">
        <w:rPr>
          <w:rFonts w:eastAsia="新細明體"/>
          <w:sz w:val="20"/>
          <w:lang w:eastAsia="zh-TW"/>
        </w:rPr>
        <w:t>, 062325</w:t>
      </w:r>
      <w:r>
        <w:rPr>
          <w:rFonts w:eastAsia="新細明體"/>
          <w:sz w:val="20"/>
          <w:lang w:eastAsia="zh-TW"/>
        </w:rPr>
        <w:t xml:space="preserve"> </w:t>
      </w:r>
      <w:r w:rsidRPr="00147008">
        <w:rPr>
          <w:rFonts w:eastAsia="新細明體"/>
          <w:sz w:val="20"/>
          <w:lang w:eastAsia="zh-TW"/>
        </w:rPr>
        <w:t>(2017).</w:t>
      </w:r>
    </w:p>
    <w:p w14:paraId="1710F577" w14:textId="57AD6365" w:rsidR="0046181A" w:rsidRDefault="004F6F39" w:rsidP="007269BD">
      <w:pPr>
        <w:jc w:val="both"/>
        <w:rPr>
          <w:sz w:val="20"/>
          <w:lang w:eastAsia="ja-JP"/>
        </w:rPr>
      </w:pPr>
      <w:r>
        <w:rPr>
          <w:rFonts w:eastAsia="新細明體" w:hint="eastAsia"/>
          <w:sz w:val="20"/>
          <w:lang w:eastAsia="zh-TW"/>
        </w:rPr>
        <w:t>[</w:t>
      </w:r>
      <w:r>
        <w:rPr>
          <w:rFonts w:eastAsia="新細明體"/>
          <w:sz w:val="20"/>
          <w:lang w:eastAsia="zh-TW"/>
        </w:rPr>
        <w:t xml:space="preserve">2] </w:t>
      </w:r>
      <w:r w:rsidRPr="002E2CFF">
        <w:rPr>
          <w:rFonts w:eastAsia="新細明體"/>
          <w:sz w:val="20"/>
          <w:lang w:eastAsia="zh-TW"/>
        </w:rPr>
        <w:t xml:space="preserve">C.-H. Huang, C.-H. Yang, C.-C. Chen, A. S. </w:t>
      </w:r>
      <w:proofErr w:type="spellStart"/>
      <w:r w:rsidRPr="002E2CFF">
        <w:rPr>
          <w:rFonts w:eastAsia="新細明體"/>
          <w:sz w:val="20"/>
          <w:lang w:eastAsia="zh-TW"/>
        </w:rPr>
        <w:t>Dzurak</w:t>
      </w:r>
      <w:proofErr w:type="spellEnd"/>
      <w:r w:rsidRPr="002E2CFF">
        <w:rPr>
          <w:rFonts w:eastAsia="新細明體"/>
          <w:sz w:val="20"/>
          <w:lang w:eastAsia="zh-TW"/>
        </w:rPr>
        <w:t>, and H.-S.</w:t>
      </w:r>
      <w:r>
        <w:rPr>
          <w:rFonts w:eastAsia="新細明體"/>
          <w:sz w:val="20"/>
          <w:lang w:eastAsia="zh-TW"/>
        </w:rPr>
        <w:t xml:space="preserve"> </w:t>
      </w:r>
      <w:r w:rsidRPr="002E2CFF">
        <w:rPr>
          <w:rFonts w:eastAsia="新細明體"/>
          <w:sz w:val="20"/>
          <w:lang w:eastAsia="zh-TW"/>
        </w:rPr>
        <w:t xml:space="preserve">Goan, Phys. Rev. A </w:t>
      </w:r>
      <w:r w:rsidRPr="002E2CFF">
        <w:rPr>
          <w:rFonts w:eastAsia="新細明體"/>
          <w:b/>
          <w:sz w:val="20"/>
          <w:lang w:eastAsia="zh-TW"/>
        </w:rPr>
        <w:t>99</w:t>
      </w:r>
      <w:r w:rsidRPr="002E2CFF">
        <w:rPr>
          <w:rFonts w:eastAsia="新細明體"/>
          <w:sz w:val="20"/>
          <w:lang w:eastAsia="zh-TW"/>
        </w:rPr>
        <w:t>, 042310 (2019).</w:t>
      </w:r>
    </w:p>
    <w:p w14:paraId="30A6D335" w14:textId="6CFF1790" w:rsidR="004F6F39" w:rsidRDefault="005C04C2" w:rsidP="004F6F39">
      <w:pPr>
        <w:jc w:val="both"/>
        <w:rPr>
          <w:rFonts w:eastAsia="新細明體"/>
          <w:sz w:val="20"/>
          <w:lang w:eastAsia="zh-TW"/>
        </w:rPr>
      </w:pPr>
      <w:r>
        <w:rPr>
          <w:rFonts w:eastAsia="新細明體" w:hint="eastAsia"/>
          <w:sz w:val="20"/>
          <w:lang w:eastAsia="zh-TW"/>
        </w:rPr>
        <w:t>[</w:t>
      </w:r>
      <w:r>
        <w:rPr>
          <w:rFonts w:eastAsia="新細明體"/>
          <w:sz w:val="20"/>
          <w:lang w:eastAsia="zh-TW"/>
        </w:rPr>
        <w:t xml:space="preserve">3] </w:t>
      </w:r>
      <w:r w:rsidR="00177D72" w:rsidRPr="00177D72">
        <w:rPr>
          <w:rFonts w:eastAsia="新細明體"/>
          <w:sz w:val="20"/>
          <w:lang w:eastAsia="zh-TW"/>
        </w:rPr>
        <w:t xml:space="preserve">R. </w:t>
      </w:r>
      <w:proofErr w:type="spellStart"/>
      <w:r w:rsidR="00177D72" w:rsidRPr="00177D72">
        <w:rPr>
          <w:rFonts w:eastAsia="新細明體"/>
          <w:sz w:val="20"/>
          <w:lang w:eastAsia="zh-TW"/>
        </w:rPr>
        <w:t>Barends</w:t>
      </w:r>
      <w:proofErr w:type="spellEnd"/>
      <w:r w:rsidR="00177D72" w:rsidRPr="00177D72">
        <w:rPr>
          <w:rFonts w:eastAsia="新細明體"/>
          <w:sz w:val="20"/>
          <w:lang w:eastAsia="zh-TW"/>
        </w:rPr>
        <w:t>, et al., Nature</w:t>
      </w:r>
      <w:r w:rsidR="008E1074">
        <w:rPr>
          <w:rFonts w:eastAsia="新細明體"/>
          <w:sz w:val="20"/>
          <w:lang w:eastAsia="zh-TW"/>
        </w:rPr>
        <w:t xml:space="preserve"> </w:t>
      </w:r>
      <w:r w:rsidR="008E1074" w:rsidRPr="008E1074">
        <w:rPr>
          <w:rFonts w:eastAsia="新細明體"/>
          <w:b/>
          <w:sz w:val="20"/>
          <w:lang w:eastAsia="zh-TW"/>
        </w:rPr>
        <w:t>508</w:t>
      </w:r>
      <w:r w:rsidR="008E1074">
        <w:rPr>
          <w:rFonts w:eastAsia="新細明體"/>
          <w:sz w:val="20"/>
          <w:lang w:eastAsia="zh-TW"/>
        </w:rPr>
        <w:t xml:space="preserve">, 500 </w:t>
      </w:r>
      <w:r w:rsidR="00177D72">
        <w:rPr>
          <w:rFonts w:eastAsia="新細明體"/>
          <w:sz w:val="20"/>
          <w:lang w:eastAsia="zh-TW"/>
        </w:rPr>
        <w:t>(</w:t>
      </w:r>
      <w:r w:rsidR="00177D72" w:rsidRPr="00177D72">
        <w:rPr>
          <w:rFonts w:eastAsia="新細明體"/>
          <w:sz w:val="20"/>
          <w:lang w:eastAsia="zh-TW"/>
        </w:rPr>
        <w:t>2014</w:t>
      </w:r>
      <w:r w:rsidR="00177D72">
        <w:rPr>
          <w:rFonts w:eastAsia="新細明體"/>
          <w:sz w:val="20"/>
          <w:lang w:eastAsia="zh-TW"/>
        </w:rPr>
        <w:t>)</w:t>
      </w:r>
      <w:r w:rsidR="008E1074">
        <w:rPr>
          <w:rFonts w:eastAsia="新細明體"/>
          <w:sz w:val="20"/>
          <w:lang w:eastAsia="zh-TW"/>
        </w:rPr>
        <w:t>.</w:t>
      </w:r>
    </w:p>
    <w:p w14:paraId="3E745C88" w14:textId="0FE91668" w:rsidR="00177D72" w:rsidRPr="005C04C2" w:rsidRDefault="00177D72" w:rsidP="004F6F39">
      <w:pPr>
        <w:jc w:val="both"/>
        <w:rPr>
          <w:rFonts w:eastAsia="新細明體" w:hint="eastAsia"/>
          <w:sz w:val="20"/>
          <w:lang w:eastAsia="zh-TW"/>
        </w:rPr>
      </w:pPr>
      <w:r>
        <w:rPr>
          <w:rFonts w:eastAsia="新細明體" w:hint="eastAsia"/>
          <w:sz w:val="20"/>
          <w:lang w:eastAsia="zh-TW"/>
        </w:rPr>
        <w:t>[</w:t>
      </w:r>
      <w:r>
        <w:rPr>
          <w:rFonts w:eastAsia="新細明體"/>
          <w:sz w:val="20"/>
          <w:lang w:eastAsia="zh-TW"/>
        </w:rPr>
        <w:t xml:space="preserve">4] </w:t>
      </w:r>
      <w:r w:rsidRPr="00177D72">
        <w:rPr>
          <w:rFonts w:eastAsia="新細明體"/>
          <w:sz w:val="20"/>
          <w:lang w:eastAsia="zh-TW"/>
        </w:rPr>
        <w:t>A</w:t>
      </w:r>
      <w:r w:rsidR="008E1074">
        <w:rPr>
          <w:rFonts w:eastAsia="新細明體"/>
          <w:sz w:val="20"/>
          <w:lang w:eastAsia="zh-TW"/>
        </w:rPr>
        <w:t>.</w:t>
      </w:r>
      <w:r w:rsidRPr="00177D72">
        <w:rPr>
          <w:rFonts w:eastAsia="新細明體"/>
          <w:sz w:val="20"/>
          <w:lang w:eastAsia="zh-TW"/>
        </w:rPr>
        <w:t xml:space="preserve"> P. M. Place, et al., Nature Communications</w:t>
      </w:r>
      <w:r w:rsidR="008E1074">
        <w:rPr>
          <w:rFonts w:eastAsia="新細明體"/>
          <w:sz w:val="20"/>
          <w:lang w:eastAsia="zh-TW"/>
        </w:rPr>
        <w:t xml:space="preserve"> </w:t>
      </w:r>
      <w:r w:rsidR="008E1074" w:rsidRPr="008E1074">
        <w:rPr>
          <w:rFonts w:eastAsia="新細明體"/>
          <w:b/>
          <w:bCs/>
          <w:sz w:val="20"/>
          <w:lang w:eastAsia="zh-TW"/>
        </w:rPr>
        <w:t>12</w:t>
      </w:r>
      <w:r w:rsidR="008E1074" w:rsidRPr="008E1074">
        <w:rPr>
          <w:rFonts w:eastAsia="新細明體"/>
          <w:sz w:val="20"/>
          <w:lang w:eastAsia="zh-TW"/>
        </w:rPr>
        <w:t>, 1779</w:t>
      </w:r>
      <w:r w:rsidRPr="00177D72">
        <w:rPr>
          <w:rFonts w:eastAsia="新細明體"/>
          <w:sz w:val="20"/>
          <w:lang w:eastAsia="zh-TW"/>
        </w:rPr>
        <w:t xml:space="preserve"> (2021)</w:t>
      </w:r>
    </w:p>
    <w:sectPr w:rsidR="00177D72" w:rsidRPr="005C04C2" w:rsidSect="00C84BDA">
      <w:pgSz w:w="11900" w:h="16840" w:code="9"/>
      <w:pgMar w:top="1134" w:right="1134" w:bottom="1134" w:left="1134" w:header="709" w:footer="124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352FD" w14:textId="77777777" w:rsidR="0053574F" w:rsidRDefault="0053574F">
      <w:r>
        <w:separator/>
      </w:r>
    </w:p>
  </w:endnote>
  <w:endnote w:type="continuationSeparator" w:id="0">
    <w:p w14:paraId="2C5E2123" w14:textId="77777777" w:rsidR="0053574F" w:rsidRDefault="00535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DD125" w14:textId="77777777" w:rsidR="0053574F" w:rsidRDefault="0053574F">
      <w:r>
        <w:separator/>
      </w:r>
    </w:p>
  </w:footnote>
  <w:footnote w:type="continuationSeparator" w:id="0">
    <w:p w14:paraId="32D713FB" w14:textId="77777777" w:rsidR="0053574F" w:rsidRDefault="005357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58AF0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4E7AF4"/>
    <w:multiLevelType w:val="hybridMultilevel"/>
    <w:tmpl w:val="8D4C0588"/>
    <w:lvl w:ilvl="0" w:tplc="07F6D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D2427E"/>
    <w:multiLevelType w:val="hybridMultilevel"/>
    <w:tmpl w:val="50BA70C8"/>
    <w:lvl w:ilvl="0" w:tplc="465EE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0A5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6A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328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30F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7611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8B9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C27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82E2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C8"/>
    <w:rsid w:val="000021D9"/>
    <w:rsid w:val="000124B8"/>
    <w:rsid w:val="00033B0E"/>
    <w:rsid w:val="00045F3E"/>
    <w:rsid w:val="00064CEF"/>
    <w:rsid w:val="0009441D"/>
    <w:rsid w:val="000A565F"/>
    <w:rsid w:val="000A7E4C"/>
    <w:rsid w:val="000B5372"/>
    <w:rsid w:val="000B5DD3"/>
    <w:rsid w:val="000C6508"/>
    <w:rsid w:val="000D4527"/>
    <w:rsid w:val="000E1615"/>
    <w:rsid w:val="000F6CC2"/>
    <w:rsid w:val="00101388"/>
    <w:rsid w:val="00143E72"/>
    <w:rsid w:val="00147008"/>
    <w:rsid w:val="00165DE4"/>
    <w:rsid w:val="00177D72"/>
    <w:rsid w:val="001904A6"/>
    <w:rsid w:val="001A6F74"/>
    <w:rsid w:val="00202808"/>
    <w:rsid w:val="00206EB4"/>
    <w:rsid w:val="002256B5"/>
    <w:rsid w:val="00234EC3"/>
    <w:rsid w:val="002709CA"/>
    <w:rsid w:val="00285215"/>
    <w:rsid w:val="002A375A"/>
    <w:rsid w:val="002A3E50"/>
    <w:rsid w:val="002B4133"/>
    <w:rsid w:val="002E2CFF"/>
    <w:rsid w:val="00357295"/>
    <w:rsid w:val="00376063"/>
    <w:rsid w:val="00387906"/>
    <w:rsid w:val="00391835"/>
    <w:rsid w:val="003919E1"/>
    <w:rsid w:val="003B308F"/>
    <w:rsid w:val="00435B16"/>
    <w:rsid w:val="0046181A"/>
    <w:rsid w:val="00463BE0"/>
    <w:rsid w:val="004865AF"/>
    <w:rsid w:val="00492DF3"/>
    <w:rsid w:val="004A0BBC"/>
    <w:rsid w:val="004B0E39"/>
    <w:rsid w:val="004D37A0"/>
    <w:rsid w:val="004E1700"/>
    <w:rsid w:val="004F6F39"/>
    <w:rsid w:val="00503943"/>
    <w:rsid w:val="005219C8"/>
    <w:rsid w:val="0053574F"/>
    <w:rsid w:val="00540B7A"/>
    <w:rsid w:val="00577BE6"/>
    <w:rsid w:val="00597014"/>
    <w:rsid w:val="005B05EA"/>
    <w:rsid w:val="005B63A3"/>
    <w:rsid w:val="005C04C2"/>
    <w:rsid w:val="005C3D42"/>
    <w:rsid w:val="005E0425"/>
    <w:rsid w:val="005E1C54"/>
    <w:rsid w:val="005E2268"/>
    <w:rsid w:val="00624D0C"/>
    <w:rsid w:val="006346C2"/>
    <w:rsid w:val="00657F55"/>
    <w:rsid w:val="00661145"/>
    <w:rsid w:val="00663D93"/>
    <w:rsid w:val="006721C9"/>
    <w:rsid w:val="00685F00"/>
    <w:rsid w:val="00697D48"/>
    <w:rsid w:val="006A745C"/>
    <w:rsid w:val="006C67B9"/>
    <w:rsid w:val="006E0C93"/>
    <w:rsid w:val="006E7E20"/>
    <w:rsid w:val="00704717"/>
    <w:rsid w:val="007269BD"/>
    <w:rsid w:val="00742654"/>
    <w:rsid w:val="0077294E"/>
    <w:rsid w:val="007B3BC8"/>
    <w:rsid w:val="007E6DE1"/>
    <w:rsid w:val="008133BF"/>
    <w:rsid w:val="00820A25"/>
    <w:rsid w:val="00823BC3"/>
    <w:rsid w:val="0083014D"/>
    <w:rsid w:val="00885C77"/>
    <w:rsid w:val="008C5C48"/>
    <w:rsid w:val="008D1394"/>
    <w:rsid w:val="008D1E35"/>
    <w:rsid w:val="008E1074"/>
    <w:rsid w:val="00936D4C"/>
    <w:rsid w:val="009F7CCD"/>
    <w:rsid w:val="00A15BF9"/>
    <w:rsid w:val="00A507E3"/>
    <w:rsid w:val="00A60494"/>
    <w:rsid w:val="00A65992"/>
    <w:rsid w:val="00A703E7"/>
    <w:rsid w:val="00A71913"/>
    <w:rsid w:val="00A83402"/>
    <w:rsid w:val="00AA72C8"/>
    <w:rsid w:val="00AB0106"/>
    <w:rsid w:val="00AC2E01"/>
    <w:rsid w:val="00AC64C2"/>
    <w:rsid w:val="00AF6CFE"/>
    <w:rsid w:val="00B6639D"/>
    <w:rsid w:val="00B73DB8"/>
    <w:rsid w:val="00B81656"/>
    <w:rsid w:val="00B9200F"/>
    <w:rsid w:val="00B93A78"/>
    <w:rsid w:val="00B94363"/>
    <w:rsid w:val="00BC155C"/>
    <w:rsid w:val="00BC4C99"/>
    <w:rsid w:val="00BE25CC"/>
    <w:rsid w:val="00BF6B68"/>
    <w:rsid w:val="00BF6ED6"/>
    <w:rsid w:val="00C05CB8"/>
    <w:rsid w:val="00C36F7F"/>
    <w:rsid w:val="00C427CA"/>
    <w:rsid w:val="00C42EAC"/>
    <w:rsid w:val="00C63184"/>
    <w:rsid w:val="00C6625F"/>
    <w:rsid w:val="00C77D9D"/>
    <w:rsid w:val="00C84BDA"/>
    <w:rsid w:val="00CA07F4"/>
    <w:rsid w:val="00CA238A"/>
    <w:rsid w:val="00CB7947"/>
    <w:rsid w:val="00CE032F"/>
    <w:rsid w:val="00CE509D"/>
    <w:rsid w:val="00D10C60"/>
    <w:rsid w:val="00D16F9D"/>
    <w:rsid w:val="00D260BC"/>
    <w:rsid w:val="00D277F2"/>
    <w:rsid w:val="00D40718"/>
    <w:rsid w:val="00D53AE1"/>
    <w:rsid w:val="00D56767"/>
    <w:rsid w:val="00D876BD"/>
    <w:rsid w:val="00D97D60"/>
    <w:rsid w:val="00DC51A5"/>
    <w:rsid w:val="00DE2792"/>
    <w:rsid w:val="00DF224E"/>
    <w:rsid w:val="00E26899"/>
    <w:rsid w:val="00E5592F"/>
    <w:rsid w:val="00E6474E"/>
    <w:rsid w:val="00E759F7"/>
    <w:rsid w:val="00EC2936"/>
    <w:rsid w:val="00ED0635"/>
    <w:rsid w:val="00ED21A7"/>
    <w:rsid w:val="00EF0CAF"/>
    <w:rsid w:val="00EF7845"/>
    <w:rsid w:val="00F06B77"/>
    <w:rsid w:val="00F073FA"/>
    <w:rsid w:val="00F168C5"/>
    <w:rsid w:val="00F20769"/>
    <w:rsid w:val="00F43EF5"/>
    <w:rsid w:val="00F44078"/>
    <w:rsid w:val="00F47DC8"/>
    <w:rsid w:val="00F53207"/>
    <w:rsid w:val="00F6495D"/>
    <w:rsid w:val="00F71E91"/>
    <w:rsid w:val="00F914C7"/>
    <w:rsid w:val="00F9425F"/>
    <w:rsid w:val="00FA7D82"/>
    <w:rsid w:val="00FB455B"/>
    <w:rsid w:val="00FB505C"/>
    <w:rsid w:val="00FC60D2"/>
    <w:rsid w:val="00FD02C8"/>
    <w:rsid w:val="00FE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DF263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808"/>
    <w:pPr>
      <w:widowControl w:val="0"/>
      <w:overflowPunct w:val="0"/>
      <w:autoSpaceDE w:val="0"/>
      <w:autoSpaceDN w:val="0"/>
      <w:adjustRightInd w:val="0"/>
      <w:snapToGrid w:val="0"/>
    </w:pPr>
    <w:rPr>
      <w:snapToGrid w:val="0"/>
      <w:sz w:val="24"/>
      <w:szCs w:val="24"/>
      <w:lang w:eastAsia="es-ES_tradn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553"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rsid w:val="002A5553"/>
    <w:pPr>
      <w:tabs>
        <w:tab w:val="center" w:pos="4252"/>
        <w:tab w:val="right" w:pos="8504"/>
      </w:tabs>
    </w:pPr>
  </w:style>
  <w:style w:type="character" w:customStyle="1" w:styleId="a4">
    <w:name w:val="頁首 字元"/>
    <w:link w:val="a3"/>
    <w:uiPriority w:val="99"/>
    <w:rsid w:val="005E0425"/>
    <w:rPr>
      <w:snapToGrid w:val="0"/>
      <w:sz w:val="24"/>
      <w:szCs w:val="24"/>
      <w:lang w:eastAsia="es-ES_tradnl"/>
    </w:rPr>
  </w:style>
  <w:style w:type="paragraph" w:styleId="a6">
    <w:name w:val="Balloon Text"/>
    <w:basedOn w:val="a"/>
    <w:link w:val="a7"/>
    <w:rsid w:val="005E0425"/>
    <w:rPr>
      <w:rFonts w:ascii="Arial" w:eastAsia="MS Gothic" w:hAnsi="Arial"/>
      <w:sz w:val="18"/>
      <w:szCs w:val="18"/>
    </w:rPr>
  </w:style>
  <w:style w:type="character" w:customStyle="1" w:styleId="a7">
    <w:name w:val="註解方塊文字 字元"/>
    <w:link w:val="a6"/>
    <w:rsid w:val="005E0425"/>
    <w:rPr>
      <w:rFonts w:ascii="Arial" w:eastAsia="MS Gothic" w:hAnsi="Arial" w:cs="Times New Roman"/>
      <w:snapToGrid w:val="0"/>
      <w:sz w:val="18"/>
      <w:szCs w:val="18"/>
      <w:lang w:eastAsia="es-ES_tradnl"/>
    </w:rPr>
  </w:style>
  <w:style w:type="paragraph" w:customStyle="1" w:styleId="Default">
    <w:name w:val="Default"/>
    <w:rsid w:val="0009441D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ja-JP"/>
    </w:rPr>
  </w:style>
  <w:style w:type="character" w:styleId="a8">
    <w:name w:val="Hyperlink"/>
    <w:basedOn w:val="a0"/>
    <w:rsid w:val="00B9200F"/>
    <w:rPr>
      <w:color w:val="0563C1" w:themeColor="hyperlink"/>
      <w:u w:val="single"/>
    </w:rPr>
  </w:style>
  <w:style w:type="character" w:styleId="a9">
    <w:name w:val="Unresolved Mention"/>
    <w:basedOn w:val="a0"/>
    <w:rsid w:val="00B9200F"/>
    <w:rPr>
      <w:color w:val="605E5C"/>
      <w:shd w:val="clear" w:color="auto" w:fill="E1DFDD"/>
    </w:rPr>
  </w:style>
  <w:style w:type="character" w:styleId="aa">
    <w:name w:val="FollowedHyperlink"/>
    <w:basedOn w:val="a0"/>
    <w:rsid w:val="00EF7845"/>
    <w:rPr>
      <w:color w:val="954F72" w:themeColor="followedHyperlink"/>
      <w:u w:val="single"/>
    </w:rPr>
  </w:style>
  <w:style w:type="character" w:styleId="ab">
    <w:name w:val="Placeholder Text"/>
    <w:basedOn w:val="a0"/>
    <w:uiPriority w:val="67"/>
    <w:rsid w:val="00FC60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6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750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5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8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(Times New Roman, 14 pt, bold, center aligned)</vt:lpstr>
      <vt:lpstr>Title (Times New Roman, 14 pt, bold, center aligned)</vt:lpstr>
    </vt:vector>
  </TitlesOfParts>
  <Company>東京工業大学</Company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(Times New Roman, 14 pt, bold, center aligned)</dc:title>
  <dc:subject/>
  <dc:creator>Demo not for sale</dc:creator>
  <cp:keywords/>
  <cp:lastModifiedBy>USER</cp:lastModifiedBy>
  <cp:revision>5</cp:revision>
  <cp:lastPrinted>2008-09-23T14:23:00Z</cp:lastPrinted>
  <dcterms:created xsi:type="dcterms:W3CDTF">2023-06-22T18:36:00Z</dcterms:created>
  <dcterms:modified xsi:type="dcterms:W3CDTF">2023-06-22T18:41:00Z</dcterms:modified>
</cp:coreProperties>
</file>